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A2" w:rsidRPr="005F7B75" w:rsidRDefault="00654EB9">
      <w:pPr>
        <w:rPr>
          <w:b/>
          <w:sz w:val="28"/>
        </w:rPr>
      </w:pPr>
      <w:r w:rsidRPr="005F7B75">
        <w:rPr>
          <w:b/>
          <w:sz w:val="28"/>
        </w:rPr>
        <w:t>Convention entre</w:t>
      </w:r>
    </w:p>
    <w:p w:rsidR="00654EB9" w:rsidRDefault="00654EB9">
      <w:r>
        <w:t xml:space="preserve">D’une part </w:t>
      </w:r>
    </w:p>
    <w:p w:rsidR="00654EB9" w:rsidRDefault="00164140" w:rsidP="00654EB9">
      <w:pPr>
        <w:ind w:left="708"/>
      </w:pPr>
      <w:r>
        <w:t>L’association de fait ‘</w:t>
      </w:r>
      <w:proofErr w:type="spellStart"/>
      <w:r>
        <w:t>Gastout</w:t>
      </w:r>
      <w:proofErr w:type="spellEnd"/>
      <w:r>
        <w:t xml:space="preserve"> &amp; Consort’ regroupant M</w:t>
      </w:r>
      <w:r w:rsidR="00654EB9">
        <w:t xml:space="preserve">adame Colette </w:t>
      </w:r>
      <w:proofErr w:type="spellStart"/>
      <w:r w:rsidR="00654EB9">
        <w:t>Gastout</w:t>
      </w:r>
      <w:proofErr w:type="spellEnd"/>
      <w:r w:rsidR="00654EB9">
        <w:t xml:space="preserve"> et Messieurs Jean </w:t>
      </w:r>
      <w:proofErr w:type="spellStart"/>
      <w:r w:rsidR="00654EB9">
        <w:t>Gastout</w:t>
      </w:r>
      <w:proofErr w:type="spellEnd"/>
      <w:r w:rsidR="00654EB9">
        <w:t xml:space="preserve">, René Claude </w:t>
      </w:r>
      <w:proofErr w:type="spellStart"/>
      <w:r w:rsidR="00654EB9">
        <w:t>Gastout</w:t>
      </w:r>
      <w:proofErr w:type="spellEnd"/>
      <w:r w:rsidR="00654EB9">
        <w:t xml:space="preserve">, Michel </w:t>
      </w:r>
      <w:proofErr w:type="spellStart"/>
      <w:r w:rsidR="00654EB9">
        <w:t>Gastout</w:t>
      </w:r>
      <w:proofErr w:type="spellEnd"/>
      <w:proofErr w:type="gramStart"/>
      <w:r w:rsidR="00654EB9">
        <w:t>, ,</w:t>
      </w:r>
      <w:proofErr w:type="gramEnd"/>
      <w:r w:rsidR="00654EB9">
        <w:t xml:space="preserve"> et Philippe </w:t>
      </w:r>
      <w:proofErr w:type="spellStart"/>
      <w:r w:rsidR="00654EB9">
        <w:t>Gastout</w:t>
      </w:r>
      <w:proofErr w:type="spellEnd"/>
      <w:r w:rsidR="00654EB9">
        <w:t xml:space="preserve"> copropriétaire</w:t>
      </w:r>
      <w:r w:rsidR="006E0645">
        <w:t>s</w:t>
      </w:r>
      <w:r w:rsidR="00654EB9">
        <w:t xml:space="preserve"> en indivision de l’immeuble situé à </w:t>
      </w:r>
      <w:proofErr w:type="spellStart"/>
      <w:r w:rsidR="00654EB9">
        <w:t>Walhain</w:t>
      </w:r>
      <w:proofErr w:type="spellEnd"/>
      <w:r w:rsidR="00654EB9">
        <w:t xml:space="preserve"> Saint Paul n°41 rue </w:t>
      </w:r>
      <w:proofErr w:type="spellStart"/>
      <w:r w:rsidR="00654EB9">
        <w:t>Cr</w:t>
      </w:r>
      <w:r w:rsidR="006E0645">
        <w:t>uchenère</w:t>
      </w:r>
      <w:proofErr w:type="spellEnd"/>
      <w:r w:rsidR="006E0645">
        <w:t xml:space="preserve"> ci-ap</w:t>
      </w:r>
      <w:r>
        <w:t>rès nommés Le Bailleur</w:t>
      </w:r>
    </w:p>
    <w:p w:rsidR="00654EB9" w:rsidRDefault="00654EB9">
      <w:r>
        <w:t>Et d’autre part</w:t>
      </w:r>
    </w:p>
    <w:p w:rsidR="00654EB9" w:rsidRDefault="00654EB9" w:rsidP="00654EB9">
      <w:pPr>
        <w:ind w:left="708"/>
      </w:pPr>
      <w:r>
        <w:t xml:space="preserve">Madame Eliane </w:t>
      </w:r>
      <w:proofErr w:type="spellStart"/>
      <w:r>
        <w:t>Borms</w:t>
      </w:r>
      <w:proofErr w:type="spellEnd"/>
      <w:r>
        <w:t xml:space="preserve"> habitant rue de l’Ombrage</w:t>
      </w:r>
      <w:r w:rsidR="006E0645">
        <w:t xml:space="preserve"> n°1</w:t>
      </w:r>
      <w:r>
        <w:t xml:space="preserve">, à 1150 Bruxelles ci-après nommée </w:t>
      </w:r>
      <w:r w:rsidR="00555CB1">
        <w:t>La Gérante</w:t>
      </w:r>
    </w:p>
    <w:p w:rsidR="00654EB9" w:rsidRDefault="00654EB9">
      <w:r>
        <w:t>Il est convenu ce qui suit :</w:t>
      </w:r>
    </w:p>
    <w:p w:rsidR="00654EB9" w:rsidRDefault="00164140">
      <w:r>
        <w:t>Le Bailleur</w:t>
      </w:r>
      <w:r w:rsidR="006E0645">
        <w:t xml:space="preserve"> </w:t>
      </w:r>
      <w:r w:rsidR="005F7B75">
        <w:t>confie à La Gérante</w:t>
      </w:r>
      <w:r w:rsidR="00654EB9">
        <w:t xml:space="preserve"> la gérance de l’immeuble </w:t>
      </w:r>
      <w:r w:rsidR="00555CB1">
        <w:t xml:space="preserve">susmentionné </w:t>
      </w:r>
      <w:r w:rsidR="00E4643A">
        <w:t xml:space="preserve">pour une durée de un an à partir du 1 octobre 2014. </w:t>
      </w:r>
    </w:p>
    <w:p w:rsidR="00E4643A" w:rsidRDefault="00555CB1">
      <w:r>
        <w:t>La Gérante</w:t>
      </w:r>
      <w:r w:rsidR="00E4643A">
        <w:t xml:space="preserve"> sera rémunérée pour les tâches incombant au propriétaire </w:t>
      </w:r>
      <w:r>
        <w:t xml:space="preserve">à 6% des loyers soit actuellement 154€ par mois, et </w:t>
      </w:r>
      <w:r w:rsidR="00E4643A">
        <w:t xml:space="preserve">sera rémunérée pour les services rendus aux locataires </w:t>
      </w:r>
      <w:r>
        <w:t>à raison de 36€ par mois prélevé</w:t>
      </w:r>
      <w:r w:rsidR="006E0645">
        <w:t>s</w:t>
      </w:r>
      <w:r>
        <w:t xml:space="preserve"> sur la provision de charges </w:t>
      </w:r>
      <w:r w:rsidR="00E4643A">
        <w:t>versé</w:t>
      </w:r>
      <w:r w:rsidR="006517B6">
        <w:t>e</w:t>
      </w:r>
      <w:r w:rsidR="00E4643A">
        <w:t xml:space="preserve"> </w:t>
      </w:r>
      <w:r w:rsidR="006517B6">
        <w:t xml:space="preserve">mensuellement </w:t>
      </w:r>
      <w:r w:rsidR="00E4643A">
        <w:t>par les locataires.</w:t>
      </w:r>
    </w:p>
    <w:p w:rsidR="006517B6" w:rsidRDefault="006517B6" w:rsidP="006517B6">
      <w:r>
        <w:t>Les tâches incombant à La G</w:t>
      </w:r>
      <w:r w:rsidR="006E0645">
        <w:t>érante sont divisées en 4</w:t>
      </w:r>
      <w:r>
        <w:t xml:space="preserve"> </w:t>
      </w:r>
      <w:r w:rsidR="006E0645">
        <w:t>chapitres</w:t>
      </w:r>
      <w:r>
        <w:t> ; la gestion administrative, la gestion financière, la gestion technique, et l’entretien des parties communes.</w:t>
      </w:r>
    </w:p>
    <w:p w:rsidR="006517B6" w:rsidRPr="006517B6" w:rsidRDefault="006517B6" w:rsidP="006517B6">
      <w:pPr>
        <w:pStyle w:val="Titre2"/>
        <w:rPr>
          <w:color w:val="auto"/>
          <w:sz w:val="22"/>
        </w:rPr>
      </w:pPr>
      <w:r w:rsidRPr="006517B6">
        <w:rPr>
          <w:color w:val="auto"/>
          <w:sz w:val="22"/>
        </w:rPr>
        <w:t>La gestion administrative</w:t>
      </w:r>
    </w:p>
    <w:p w:rsidR="006517B6" w:rsidRDefault="006517B6" w:rsidP="006517B6">
      <w:pPr>
        <w:numPr>
          <w:ilvl w:val="0"/>
          <w:numId w:val="5"/>
        </w:numPr>
        <w:suppressAutoHyphens/>
        <w:spacing w:before="120" w:after="120" w:line="100" w:lineRule="atLeast"/>
      </w:pPr>
      <w:r>
        <w:t xml:space="preserve">Seul interlocuteur des locataires (téléphone, mail, courrier,...) </w:t>
      </w:r>
    </w:p>
    <w:p w:rsidR="006517B6" w:rsidRDefault="006517B6" w:rsidP="006517B6">
      <w:pPr>
        <w:numPr>
          <w:ilvl w:val="0"/>
          <w:numId w:val="5"/>
        </w:numPr>
        <w:suppressAutoHyphens/>
        <w:spacing w:before="120" w:after="120" w:line="100" w:lineRule="atLeast"/>
      </w:pPr>
      <w:r>
        <w:t xml:space="preserve">Une concertation avec les locataires et le bailleur lorsque nécessaire </w:t>
      </w:r>
    </w:p>
    <w:p w:rsidR="006517B6" w:rsidRDefault="006517B6" w:rsidP="006517B6">
      <w:pPr>
        <w:numPr>
          <w:ilvl w:val="0"/>
          <w:numId w:val="5"/>
        </w:numPr>
        <w:suppressAutoHyphens/>
        <w:spacing w:before="120" w:after="120" w:line="100" w:lineRule="atLeast"/>
      </w:pPr>
      <w:r>
        <w:t>La gestion des con</w:t>
      </w:r>
      <w:r w:rsidR="006E0645">
        <w:t>flits concernant le bailleur</w:t>
      </w:r>
      <w:r>
        <w:t xml:space="preserve"> (impayés, réclamations…) </w:t>
      </w:r>
    </w:p>
    <w:p w:rsidR="006517B6" w:rsidRDefault="006517B6" w:rsidP="006517B6">
      <w:pPr>
        <w:numPr>
          <w:ilvl w:val="0"/>
          <w:numId w:val="5"/>
        </w:numPr>
        <w:suppressAutoHyphens/>
        <w:spacing w:before="120" w:after="120" w:line="100" w:lineRule="atLeast"/>
      </w:pPr>
      <w:r>
        <w:t xml:space="preserve">La conservation et le suivi de tous les documents contractuels tels que baux, états des lieux, règlements d’ordre intérieur, garanties locatives, etc. </w:t>
      </w:r>
    </w:p>
    <w:p w:rsidR="006517B6" w:rsidRDefault="006517B6" w:rsidP="006517B6">
      <w:pPr>
        <w:numPr>
          <w:ilvl w:val="0"/>
          <w:numId w:val="5"/>
        </w:numPr>
        <w:suppressAutoHyphens/>
        <w:spacing w:before="120" w:after="120" w:line="100" w:lineRule="atLeast"/>
      </w:pPr>
      <w:r>
        <w:t xml:space="preserve">La conservation de tous les documents du bâtiment </w:t>
      </w:r>
    </w:p>
    <w:p w:rsidR="006517B6" w:rsidRDefault="006517B6" w:rsidP="006517B6">
      <w:pPr>
        <w:numPr>
          <w:ilvl w:val="0"/>
          <w:numId w:val="5"/>
        </w:numPr>
        <w:suppressAutoHyphens/>
        <w:spacing w:before="120" w:after="120" w:line="100" w:lineRule="atLeast"/>
      </w:pPr>
      <w:r>
        <w:t xml:space="preserve">L’assistance pour la rédaction d’un contrat éventuel de maintenance et la surveillance du respect dudit contrat </w:t>
      </w:r>
    </w:p>
    <w:p w:rsidR="006517B6" w:rsidRDefault="006517B6" w:rsidP="006517B6">
      <w:pPr>
        <w:numPr>
          <w:ilvl w:val="0"/>
          <w:numId w:val="5"/>
        </w:numPr>
        <w:suppressAutoHyphens/>
        <w:spacing w:before="120" w:after="120" w:line="100" w:lineRule="atLeast"/>
      </w:pPr>
      <w:r>
        <w:t xml:space="preserve">La gestion des polices d’assurance et le suivi des sinistres </w:t>
      </w:r>
    </w:p>
    <w:p w:rsidR="006517B6" w:rsidRDefault="006517B6" w:rsidP="006517B6">
      <w:pPr>
        <w:numPr>
          <w:ilvl w:val="0"/>
          <w:numId w:val="5"/>
        </w:numPr>
        <w:suppressAutoHyphens/>
        <w:spacing w:before="120" w:after="120" w:line="100" w:lineRule="atLeast"/>
      </w:pPr>
      <w:r>
        <w:t xml:space="preserve">La conservation, le suivi, et si nécessaire l’assistance lors de la demande d’attestations légales </w:t>
      </w:r>
    </w:p>
    <w:p w:rsidR="006517B6" w:rsidRDefault="006517B6" w:rsidP="006517B6">
      <w:pPr>
        <w:ind w:firstLine="567"/>
        <w:rPr>
          <w:b/>
          <w:bCs/>
        </w:rPr>
      </w:pPr>
      <w:r>
        <w:t> </w:t>
      </w:r>
    </w:p>
    <w:p w:rsidR="006517B6" w:rsidRPr="006517B6" w:rsidRDefault="006517B6" w:rsidP="006517B6">
      <w:pPr>
        <w:pStyle w:val="Titre2"/>
        <w:rPr>
          <w:color w:val="auto"/>
          <w:sz w:val="22"/>
        </w:rPr>
      </w:pPr>
      <w:r w:rsidRPr="006517B6">
        <w:rPr>
          <w:color w:val="auto"/>
          <w:sz w:val="22"/>
        </w:rPr>
        <w:t>La gestion financière</w:t>
      </w:r>
    </w:p>
    <w:p w:rsidR="006517B6" w:rsidRDefault="006517B6" w:rsidP="006517B6">
      <w:pPr>
        <w:numPr>
          <w:ilvl w:val="0"/>
          <w:numId w:val="6"/>
        </w:numPr>
        <w:suppressAutoHyphens/>
        <w:spacing w:before="120" w:after="120" w:line="100" w:lineRule="atLeast"/>
      </w:pPr>
      <w:r>
        <w:t xml:space="preserve">L’indexation annuelle des loyers </w:t>
      </w:r>
    </w:p>
    <w:p w:rsidR="006517B6" w:rsidRDefault="006517B6" w:rsidP="006517B6">
      <w:pPr>
        <w:numPr>
          <w:ilvl w:val="0"/>
          <w:numId w:val="6"/>
        </w:numPr>
        <w:suppressAutoHyphens/>
        <w:spacing w:before="120" w:after="120" w:line="100" w:lineRule="atLeast"/>
      </w:pPr>
      <w:r>
        <w:t xml:space="preserve">Le suivi du paiement des loyers (état de compte AXA à recevoir) </w:t>
      </w:r>
    </w:p>
    <w:p w:rsidR="006517B6" w:rsidRDefault="006517B6" w:rsidP="006517B6">
      <w:pPr>
        <w:numPr>
          <w:ilvl w:val="0"/>
          <w:numId w:val="6"/>
        </w:numPr>
        <w:suppressAutoHyphens/>
        <w:spacing w:before="120" w:after="120" w:line="100" w:lineRule="atLeast"/>
      </w:pPr>
      <w:r>
        <w:t xml:space="preserve">La centralisation, le contrôle des factures réceptionnées, ainsi que leur conservation </w:t>
      </w:r>
    </w:p>
    <w:p w:rsidR="006517B6" w:rsidRDefault="006517B6" w:rsidP="006517B6">
      <w:pPr>
        <w:numPr>
          <w:ilvl w:val="0"/>
          <w:numId w:val="6"/>
        </w:numPr>
        <w:suppressAutoHyphens/>
        <w:spacing w:before="120" w:after="120" w:line="100" w:lineRule="atLeast"/>
      </w:pPr>
      <w:r>
        <w:t xml:space="preserve">La gestion des provisions pour charges communes </w:t>
      </w:r>
    </w:p>
    <w:p w:rsidR="006517B6" w:rsidRDefault="006517B6" w:rsidP="006517B6">
      <w:pPr>
        <w:numPr>
          <w:ilvl w:val="0"/>
          <w:numId w:val="6"/>
        </w:numPr>
        <w:suppressAutoHyphens/>
        <w:spacing w:before="120" w:after="120" w:line="100" w:lineRule="atLeast"/>
      </w:pPr>
      <w:r>
        <w:lastRenderedPageBreak/>
        <w:t xml:space="preserve">L’établissement de décomptes annuel des charges communes </w:t>
      </w:r>
    </w:p>
    <w:p w:rsidR="006517B6" w:rsidRDefault="006517B6" w:rsidP="006517B6">
      <w:pPr>
        <w:numPr>
          <w:ilvl w:val="0"/>
          <w:numId w:val="6"/>
        </w:numPr>
        <w:suppressAutoHyphens/>
        <w:spacing w:before="120" w:after="120" w:line="100" w:lineRule="atLeast"/>
        <w:rPr>
          <w:b/>
          <w:bCs/>
        </w:rPr>
      </w:pPr>
      <w:r>
        <w:t xml:space="preserve">Le suivi du paiement de ces décomptes </w:t>
      </w:r>
    </w:p>
    <w:p w:rsidR="006517B6" w:rsidRDefault="006517B6" w:rsidP="006517B6">
      <w:pPr>
        <w:ind w:firstLine="567"/>
        <w:rPr>
          <w:b/>
          <w:bCs/>
        </w:rPr>
      </w:pPr>
    </w:p>
    <w:p w:rsidR="006517B6" w:rsidRPr="006517B6" w:rsidRDefault="006517B6" w:rsidP="006517B6">
      <w:pPr>
        <w:pStyle w:val="Titre2"/>
        <w:rPr>
          <w:color w:val="auto"/>
          <w:sz w:val="22"/>
        </w:rPr>
      </w:pPr>
      <w:r w:rsidRPr="006517B6">
        <w:rPr>
          <w:color w:val="auto"/>
          <w:sz w:val="22"/>
        </w:rPr>
        <w:t>La gestion technique</w:t>
      </w:r>
    </w:p>
    <w:p w:rsidR="006517B6" w:rsidRDefault="006517B6" w:rsidP="006517B6">
      <w:pPr>
        <w:numPr>
          <w:ilvl w:val="0"/>
          <w:numId w:val="7"/>
        </w:numPr>
        <w:suppressAutoHyphens/>
        <w:spacing w:before="120" w:after="120" w:line="100" w:lineRule="atLeast"/>
      </w:pPr>
      <w:r>
        <w:t xml:space="preserve">La surveillance de l’entretien préventif et curatif de l’immeuble et des installations techniques </w:t>
      </w:r>
    </w:p>
    <w:p w:rsidR="006517B6" w:rsidRDefault="006517B6" w:rsidP="006517B6">
      <w:pPr>
        <w:numPr>
          <w:ilvl w:val="0"/>
          <w:numId w:val="7"/>
        </w:numPr>
        <w:suppressAutoHyphens/>
        <w:spacing w:before="120" w:after="120" w:line="100" w:lineRule="atLeast"/>
      </w:pPr>
      <w:r>
        <w:t xml:space="preserve">L’élaboration éventuelle de programmes d’entretien et les améliorations éventuelles à apporter à l’immeuble </w:t>
      </w:r>
    </w:p>
    <w:p w:rsidR="006517B6" w:rsidRDefault="006517B6" w:rsidP="006517B6">
      <w:pPr>
        <w:numPr>
          <w:ilvl w:val="0"/>
          <w:numId w:val="7"/>
        </w:numPr>
        <w:suppressAutoHyphens/>
        <w:spacing w:before="120" w:after="120" w:line="100" w:lineRule="atLeast"/>
      </w:pPr>
      <w:r>
        <w:t xml:space="preserve">Le suivi de ces programmes d’entretien </w:t>
      </w:r>
    </w:p>
    <w:p w:rsidR="006517B6" w:rsidRDefault="006517B6" w:rsidP="006517B6">
      <w:pPr>
        <w:numPr>
          <w:ilvl w:val="0"/>
          <w:numId w:val="7"/>
        </w:numPr>
        <w:suppressAutoHyphens/>
        <w:spacing w:before="120" w:after="120" w:line="100" w:lineRule="atLeast"/>
      </w:pPr>
      <w:r>
        <w:t xml:space="preserve">La fourniture de conseils au propriétaire lors de la sélection et du choix des sociétés d’entretien, des fournisseurs et des entrepreneurs </w:t>
      </w:r>
    </w:p>
    <w:p w:rsidR="006517B6" w:rsidRDefault="006517B6" w:rsidP="006517B6">
      <w:pPr>
        <w:numPr>
          <w:ilvl w:val="0"/>
          <w:numId w:val="7"/>
        </w:numPr>
        <w:suppressAutoHyphens/>
        <w:spacing w:before="120" w:after="120" w:line="100" w:lineRule="atLeast"/>
      </w:pPr>
      <w:r>
        <w:t xml:space="preserve">L’organisation des contrôles légaux éventuels </w:t>
      </w:r>
    </w:p>
    <w:p w:rsidR="006517B6" w:rsidRDefault="006517B6" w:rsidP="006517B6">
      <w:pPr>
        <w:numPr>
          <w:ilvl w:val="0"/>
          <w:numId w:val="7"/>
        </w:numPr>
        <w:suppressAutoHyphens/>
        <w:spacing w:before="120" w:after="120" w:line="100" w:lineRule="atLeast"/>
      </w:pPr>
      <w:r>
        <w:t>Le suivi de la rédaction de l’état des lieux lors de l’arrivée et du départ d’un locataire</w:t>
      </w:r>
    </w:p>
    <w:p w:rsidR="006517B6" w:rsidRDefault="006517B6" w:rsidP="006517B6">
      <w:pPr>
        <w:ind w:left="360"/>
      </w:pPr>
    </w:p>
    <w:p w:rsidR="006517B6" w:rsidRPr="006517B6" w:rsidRDefault="006517B6" w:rsidP="006517B6">
      <w:pPr>
        <w:pStyle w:val="Titre2"/>
        <w:rPr>
          <w:color w:val="auto"/>
          <w:sz w:val="22"/>
        </w:rPr>
      </w:pPr>
      <w:r w:rsidRPr="006517B6">
        <w:rPr>
          <w:color w:val="auto"/>
          <w:sz w:val="22"/>
        </w:rPr>
        <w:t>L'entretien de communs</w:t>
      </w:r>
    </w:p>
    <w:p w:rsidR="006517B6" w:rsidRDefault="006517B6" w:rsidP="006517B6">
      <w:pPr>
        <w:numPr>
          <w:ilvl w:val="0"/>
          <w:numId w:val="8"/>
        </w:numPr>
        <w:suppressAutoHyphens/>
        <w:spacing w:before="120" w:after="120" w:line="100" w:lineRule="atLeast"/>
      </w:pPr>
      <w:r>
        <w:t xml:space="preserve">Le gérant vérifiera périodiquement l'état des parties communes </w:t>
      </w:r>
    </w:p>
    <w:p w:rsidR="006517B6" w:rsidRDefault="006517B6" w:rsidP="006517B6">
      <w:pPr>
        <w:numPr>
          <w:ilvl w:val="0"/>
          <w:numId w:val="8"/>
        </w:numPr>
        <w:suppressAutoHyphens/>
        <w:spacing w:before="120" w:after="120" w:line="100" w:lineRule="atLeast"/>
      </w:pPr>
      <w:r>
        <w:t>Le gérant entretiendra 2 fois par mois les halls, l'escalier et les plantations.</w:t>
      </w:r>
    </w:p>
    <w:p w:rsidR="006517B6" w:rsidRDefault="006517B6" w:rsidP="006517B6">
      <w:pPr>
        <w:ind w:left="360"/>
      </w:pPr>
    </w:p>
    <w:p w:rsidR="006517B6" w:rsidRDefault="006517B6" w:rsidP="005F7B75">
      <w:r>
        <w:t>Outre la rémunération déterminé</w:t>
      </w:r>
      <w:r w:rsidR="00164140">
        <w:t>e plus haut, le Bailleur</w:t>
      </w:r>
      <w:r>
        <w:t xml:space="preserve"> s’</w:t>
      </w:r>
      <w:r w:rsidR="00164140">
        <w:t>engage</w:t>
      </w:r>
      <w:r>
        <w:t xml:space="preserve"> à indemniser La Gérante pour :</w:t>
      </w:r>
    </w:p>
    <w:p w:rsidR="006517B6" w:rsidRDefault="006517B6" w:rsidP="006517B6">
      <w:pPr>
        <w:ind w:left="360"/>
      </w:pPr>
      <w:r>
        <w:t xml:space="preserve">- les frais de déplacement éventuellement nécessaire à </w:t>
      </w:r>
      <w:proofErr w:type="spellStart"/>
      <w:r>
        <w:t>Walhain</w:t>
      </w:r>
      <w:proofErr w:type="spellEnd"/>
      <w:r>
        <w:t xml:space="preserve"> au-delà de deux par mois;</w:t>
      </w:r>
    </w:p>
    <w:p w:rsidR="006517B6" w:rsidRDefault="006517B6" w:rsidP="006517B6">
      <w:pPr>
        <w:ind w:left="360"/>
      </w:pPr>
      <w:r>
        <w:t>- les frais de déplacement nécessaire</w:t>
      </w:r>
      <w:r w:rsidR="005F7B75">
        <w:t>s</w:t>
      </w:r>
      <w:r>
        <w:t xml:space="preserve"> </w:t>
      </w:r>
      <w:r w:rsidR="005F7B75">
        <w:t xml:space="preserve">à sa mission </w:t>
      </w:r>
      <w:r>
        <w:t>(0.3 €/km);</w:t>
      </w:r>
    </w:p>
    <w:p w:rsidR="006517B6" w:rsidRDefault="006517B6" w:rsidP="006517B6">
      <w:pPr>
        <w:ind w:left="360"/>
      </w:pPr>
      <w:r>
        <w:t>- l’achat de matériel et produits d’entretien et autres</w:t>
      </w:r>
    </w:p>
    <w:p w:rsidR="006517B6" w:rsidRDefault="006517B6" w:rsidP="006517B6">
      <w:pPr>
        <w:ind w:left="360"/>
      </w:pPr>
      <w:r>
        <w:t xml:space="preserve">- les frais de poste, d’impression, d’expédition, </w:t>
      </w:r>
      <w:proofErr w:type="spellStart"/>
      <w:r>
        <w:t>etc</w:t>
      </w:r>
      <w:proofErr w:type="spellEnd"/>
      <w:r>
        <w:t>;</w:t>
      </w:r>
    </w:p>
    <w:p w:rsidR="006517B6" w:rsidRDefault="006517B6" w:rsidP="006517B6">
      <w:pPr>
        <w:ind w:left="360"/>
      </w:pPr>
      <w:r>
        <w:t xml:space="preserve">- les </w:t>
      </w:r>
      <w:r w:rsidR="005F7B75">
        <w:t xml:space="preserve">frais liés aux </w:t>
      </w:r>
      <w:r>
        <w:t>visites sur place en vue de la location,</w:t>
      </w:r>
    </w:p>
    <w:p w:rsidR="006517B6" w:rsidRDefault="006517B6" w:rsidP="006517B6">
      <w:pPr>
        <w:ind w:left="360"/>
      </w:pPr>
      <w:r>
        <w:t>- toute taxe ou impôt,</w:t>
      </w:r>
    </w:p>
    <w:p w:rsidR="005458BE" w:rsidRDefault="006E0645">
      <w:r>
        <w:t>L’</w:t>
      </w:r>
      <w:r w:rsidR="00A73E10">
        <w:t>A</w:t>
      </w:r>
      <w:r>
        <w:t xml:space="preserve">ssemblée </w:t>
      </w:r>
      <w:r w:rsidR="00A73E10">
        <w:t>Générale ‘</w:t>
      </w:r>
      <w:proofErr w:type="spellStart"/>
      <w:r w:rsidR="00A73E10">
        <w:t>Gastout</w:t>
      </w:r>
      <w:proofErr w:type="spellEnd"/>
      <w:r w:rsidR="00A73E10">
        <w:t xml:space="preserve"> et Consorts’ </w:t>
      </w:r>
      <w:r>
        <w:t xml:space="preserve"> </w:t>
      </w:r>
      <w:r w:rsidR="00D43038">
        <w:t xml:space="preserve">sera convoquée par La Gérante, avant la date anniversaire de la présente convention. </w:t>
      </w:r>
      <w:r w:rsidR="00A73E10">
        <w:t>La Gérante fera rapport de sa mission. L</w:t>
      </w:r>
      <w:r w:rsidR="00D43038">
        <w:t>’</w:t>
      </w:r>
      <w:r w:rsidR="00A73E10">
        <w:t>A</w:t>
      </w:r>
      <w:r w:rsidR="00D43038">
        <w:t xml:space="preserve">ssemblée Générale examinera les comptes et statuera sur la nomination de la Gérante. </w:t>
      </w:r>
    </w:p>
    <w:p w:rsidR="005F7B75" w:rsidRDefault="005F7B75">
      <w:r>
        <w:t>Fait à Bruxelles, le 30 septembre 2014</w:t>
      </w:r>
    </w:p>
    <w:p w:rsidR="005F7B75" w:rsidRDefault="00A73E10">
      <w:r>
        <w:t xml:space="preserve">Pour </w:t>
      </w:r>
      <w:r w:rsidR="00CA7577">
        <w:t>‘</w:t>
      </w:r>
      <w:proofErr w:type="spellStart"/>
      <w:r>
        <w:t>Gastout</w:t>
      </w:r>
      <w:proofErr w:type="spellEnd"/>
      <w:r>
        <w:t xml:space="preserve"> et Consorts</w:t>
      </w:r>
      <w:r w:rsidR="00CA7577">
        <w:t>’</w:t>
      </w:r>
      <w:r w:rsidR="005F7B75">
        <w:tab/>
      </w:r>
      <w:r w:rsidR="005F7B75">
        <w:tab/>
      </w:r>
      <w:r w:rsidR="005F7B75">
        <w:tab/>
      </w:r>
      <w:r w:rsidR="005F7B75">
        <w:tab/>
      </w:r>
      <w:r w:rsidR="005F7B75">
        <w:tab/>
      </w:r>
      <w:r w:rsidR="005F7B75">
        <w:tab/>
        <w:t>La Gérante</w:t>
      </w:r>
    </w:p>
    <w:p w:rsidR="005F7B75" w:rsidRDefault="005F7B75"/>
    <w:sectPr w:rsidR="005F7B75" w:rsidSect="00196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B15D45"/>
    <w:multiLevelType w:val="multilevel"/>
    <w:tmpl w:val="CF48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413FD7"/>
    <w:multiLevelType w:val="multilevel"/>
    <w:tmpl w:val="C3FA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853E5"/>
    <w:multiLevelType w:val="multilevel"/>
    <w:tmpl w:val="97AE9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4E75CC"/>
    <w:multiLevelType w:val="multilevel"/>
    <w:tmpl w:val="C442B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54EB9"/>
    <w:rsid w:val="000039DC"/>
    <w:rsid w:val="0000455F"/>
    <w:rsid w:val="00062343"/>
    <w:rsid w:val="000768F5"/>
    <w:rsid w:val="000910AB"/>
    <w:rsid w:val="000E09A8"/>
    <w:rsid w:val="000E58B2"/>
    <w:rsid w:val="000F2A0C"/>
    <w:rsid w:val="00110DFB"/>
    <w:rsid w:val="001176D0"/>
    <w:rsid w:val="0015349F"/>
    <w:rsid w:val="00164140"/>
    <w:rsid w:val="00187144"/>
    <w:rsid w:val="00191F69"/>
    <w:rsid w:val="001923AE"/>
    <w:rsid w:val="00193E3A"/>
    <w:rsid w:val="00196541"/>
    <w:rsid w:val="001969A2"/>
    <w:rsid w:val="001A3BD1"/>
    <w:rsid w:val="001B2692"/>
    <w:rsid w:val="002361B6"/>
    <w:rsid w:val="00241ED0"/>
    <w:rsid w:val="00260F48"/>
    <w:rsid w:val="00276867"/>
    <w:rsid w:val="002B6829"/>
    <w:rsid w:val="002E7581"/>
    <w:rsid w:val="002F0B24"/>
    <w:rsid w:val="002F6EBC"/>
    <w:rsid w:val="003032C0"/>
    <w:rsid w:val="003071FC"/>
    <w:rsid w:val="00317DD9"/>
    <w:rsid w:val="003200C9"/>
    <w:rsid w:val="00323D12"/>
    <w:rsid w:val="00375EBF"/>
    <w:rsid w:val="003C08F6"/>
    <w:rsid w:val="0044632D"/>
    <w:rsid w:val="00461328"/>
    <w:rsid w:val="00467DF3"/>
    <w:rsid w:val="004A6E91"/>
    <w:rsid w:val="004B33BB"/>
    <w:rsid w:val="004C1023"/>
    <w:rsid w:val="004D116E"/>
    <w:rsid w:val="004E35C7"/>
    <w:rsid w:val="004F4C43"/>
    <w:rsid w:val="005137D6"/>
    <w:rsid w:val="00530CFF"/>
    <w:rsid w:val="005458BE"/>
    <w:rsid w:val="00555CB1"/>
    <w:rsid w:val="00570FC3"/>
    <w:rsid w:val="00593F2F"/>
    <w:rsid w:val="005C0851"/>
    <w:rsid w:val="005F7B75"/>
    <w:rsid w:val="00600225"/>
    <w:rsid w:val="00623A97"/>
    <w:rsid w:val="006517B6"/>
    <w:rsid w:val="00654EB9"/>
    <w:rsid w:val="006E0645"/>
    <w:rsid w:val="006E62F2"/>
    <w:rsid w:val="00707AD9"/>
    <w:rsid w:val="007221AC"/>
    <w:rsid w:val="007236AC"/>
    <w:rsid w:val="0072486D"/>
    <w:rsid w:val="00782A34"/>
    <w:rsid w:val="00783189"/>
    <w:rsid w:val="00792E78"/>
    <w:rsid w:val="007A6262"/>
    <w:rsid w:val="007B43C1"/>
    <w:rsid w:val="007F5B68"/>
    <w:rsid w:val="0082483E"/>
    <w:rsid w:val="00845D75"/>
    <w:rsid w:val="00877032"/>
    <w:rsid w:val="00884453"/>
    <w:rsid w:val="008D193B"/>
    <w:rsid w:val="00923DDE"/>
    <w:rsid w:val="00966EBC"/>
    <w:rsid w:val="009762E1"/>
    <w:rsid w:val="009A0AC0"/>
    <w:rsid w:val="009B2AEF"/>
    <w:rsid w:val="009C1066"/>
    <w:rsid w:val="009C6F20"/>
    <w:rsid w:val="009D34A2"/>
    <w:rsid w:val="009E5005"/>
    <w:rsid w:val="009E5C73"/>
    <w:rsid w:val="00A05E2C"/>
    <w:rsid w:val="00A06FDE"/>
    <w:rsid w:val="00A13E6A"/>
    <w:rsid w:val="00A1560A"/>
    <w:rsid w:val="00A21124"/>
    <w:rsid w:val="00A73E10"/>
    <w:rsid w:val="00A74DC5"/>
    <w:rsid w:val="00AB109C"/>
    <w:rsid w:val="00AD2F43"/>
    <w:rsid w:val="00AD6849"/>
    <w:rsid w:val="00B052B4"/>
    <w:rsid w:val="00B265F8"/>
    <w:rsid w:val="00B4566D"/>
    <w:rsid w:val="00B61A55"/>
    <w:rsid w:val="00B71F56"/>
    <w:rsid w:val="00B82DD6"/>
    <w:rsid w:val="00BF05BC"/>
    <w:rsid w:val="00BF64BD"/>
    <w:rsid w:val="00BF7AD4"/>
    <w:rsid w:val="00BF7DB6"/>
    <w:rsid w:val="00C30EE5"/>
    <w:rsid w:val="00C47BA5"/>
    <w:rsid w:val="00C51752"/>
    <w:rsid w:val="00C61CE9"/>
    <w:rsid w:val="00CA7577"/>
    <w:rsid w:val="00CB3AC2"/>
    <w:rsid w:val="00CB6C6B"/>
    <w:rsid w:val="00D16242"/>
    <w:rsid w:val="00D331C1"/>
    <w:rsid w:val="00D43038"/>
    <w:rsid w:val="00D44402"/>
    <w:rsid w:val="00D6468F"/>
    <w:rsid w:val="00D650E8"/>
    <w:rsid w:val="00D97250"/>
    <w:rsid w:val="00DE48CC"/>
    <w:rsid w:val="00DE5853"/>
    <w:rsid w:val="00E2044D"/>
    <w:rsid w:val="00E20FE6"/>
    <w:rsid w:val="00E4643A"/>
    <w:rsid w:val="00E5245E"/>
    <w:rsid w:val="00EB1E02"/>
    <w:rsid w:val="00EC37D3"/>
    <w:rsid w:val="00FA2EFA"/>
    <w:rsid w:val="00FA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A2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17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517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458BE"/>
  </w:style>
  <w:style w:type="character" w:customStyle="1" w:styleId="Titre2Car">
    <w:name w:val="Titre 2 Car"/>
    <w:basedOn w:val="Policepardfaut"/>
    <w:link w:val="Titre2"/>
    <w:uiPriority w:val="9"/>
    <w:rsid w:val="00651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517B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83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5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0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8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3</cp:revision>
  <cp:lastPrinted>2014-09-30T12:14:00Z</cp:lastPrinted>
  <dcterms:created xsi:type="dcterms:W3CDTF">2014-09-22T10:17:00Z</dcterms:created>
  <dcterms:modified xsi:type="dcterms:W3CDTF">2014-09-30T13:33:00Z</dcterms:modified>
</cp:coreProperties>
</file>